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43344" w14:textId="77777777" w:rsidR="00A914FB" w:rsidRPr="00A94DDD" w:rsidRDefault="00A914FB" w:rsidP="00A914FB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07AF82DC" w14:textId="77777777" w:rsidR="00A914FB" w:rsidRPr="00A94DDD" w:rsidRDefault="00A914FB" w:rsidP="00A914FB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733BEC83" w14:textId="77777777" w:rsidR="00A914FB" w:rsidRPr="00A94DDD" w:rsidRDefault="00A914FB" w:rsidP="00A914FB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0693D06B" w14:textId="77777777" w:rsidR="0017125A" w:rsidRPr="00D90625" w:rsidRDefault="0017125A" w:rsidP="0017125A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45F8DCFE" w14:textId="1F686A88" w:rsidR="008A25CA" w:rsidRPr="00115978" w:rsidRDefault="008A25CA" w:rsidP="00171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[For </w:t>
      </w:r>
      <w:r w:rsidR="00BD3770"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species-group</w:t>
      </w:r>
      <w:r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name] 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[junior </w:t>
      </w:r>
      <w:r w:rsidR="00EF25FF"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objective/subjective</w:t>
      </w:r>
      <w:r w:rsidR="00384F0C"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synonym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(currently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[current combination]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conservation of the specific name </w:t>
      </w:r>
    </w:p>
    <w:p w14:paraId="772C5C83" w14:textId="77777777" w:rsidR="00115978" w:rsidRPr="00115978" w:rsidRDefault="00115978" w:rsidP="0011597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0"/>
          <w:szCs w:val="20"/>
          <w:lang w:val="en-US"/>
        </w:rPr>
      </w:pPr>
    </w:p>
    <w:p w14:paraId="7742E65E" w14:textId="2628680C" w:rsidR="008A25CA" w:rsidRPr="00115978" w:rsidRDefault="008A25CA" w:rsidP="00115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[For </w:t>
      </w:r>
      <w:r w:rsidR="00BD3770"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genus-group</w:t>
      </w:r>
      <w:r w:rsidRPr="0011597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/family-group name] 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[junior </w:t>
      </w:r>
      <w:r w:rsidR="00EF25FF"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objective/subjective</w:t>
      </w:r>
      <w:r w:rsidR="00384F0C"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synonym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conservation of the 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</w:t>
      </w:r>
      <w:r w:rsidR="00BD3770"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genus-group</w:t>
      </w:r>
      <w:r w:rsidRPr="0011597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/family-group]</w:t>
      </w:r>
      <w:r w:rsidRPr="001159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name </w:t>
      </w:r>
    </w:p>
    <w:p w14:paraId="5C8CAC24" w14:textId="77777777" w:rsidR="00D43807" w:rsidRPr="00115978" w:rsidRDefault="00D43807" w:rsidP="00115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B4D4FF" w14:textId="77777777" w:rsidR="00D43807" w:rsidRPr="00115978" w:rsidRDefault="00D43807" w:rsidP="00115978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115978">
        <w:rPr>
          <w:rFonts w:ascii="Times New Roman" w:hAnsi="Times New Roman" w:cs="Times New Roman"/>
          <w:color w:val="0070C0"/>
          <w:lang w:val="en-US"/>
        </w:rPr>
        <w:t>[Author]</w:t>
      </w:r>
    </w:p>
    <w:p w14:paraId="035BEE0B" w14:textId="77777777" w:rsidR="00D43807" w:rsidRPr="00115978" w:rsidRDefault="00D43807" w:rsidP="00115978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115978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78C7C055" w14:textId="77777777" w:rsidR="00D43807" w:rsidRPr="00115978" w:rsidRDefault="00D43807" w:rsidP="001159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15978">
        <w:rPr>
          <w:rFonts w:ascii="Times New Roman" w:hAnsi="Times New Roman" w:cs="Times New Roman"/>
          <w:lang w:val="en-US"/>
        </w:rPr>
        <w:t>(</w:t>
      </w:r>
      <w:r w:rsidRPr="00115978">
        <w:rPr>
          <w:rFonts w:ascii="Times New Roman" w:hAnsi="Times New Roman" w:cs="Times New Roman"/>
          <w:color w:val="0070C0"/>
          <w:lang w:val="en-US"/>
        </w:rPr>
        <w:t>[</w:t>
      </w:r>
      <w:proofErr w:type="gramStart"/>
      <w:r w:rsidRPr="00115978">
        <w:rPr>
          <w:rFonts w:ascii="Times New Roman" w:hAnsi="Times New Roman" w:cs="Times New Roman"/>
          <w:color w:val="0070C0"/>
          <w:lang w:val="en-US"/>
        </w:rPr>
        <w:t>email</w:t>
      </w:r>
      <w:proofErr w:type="gramEnd"/>
      <w:r w:rsidRPr="00115978">
        <w:rPr>
          <w:rFonts w:ascii="Times New Roman" w:hAnsi="Times New Roman" w:cs="Times New Roman"/>
          <w:color w:val="0070C0"/>
          <w:lang w:val="en-US"/>
        </w:rPr>
        <w:t xml:space="preserve"> address]</w:t>
      </w:r>
      <w:r w:rsidRPr="00115978">
        <w:rPr>
          <w:rFonts w:ascii="Times New Roman" w:hAnsi="Times New Roman" w:cs="Times New Roman"/>
          <w:lang w:val="en-US"/>
        </w:rPr>
        <w:t>)</w:t>
      </w:r>
    </w:p>
    <w:p w14:paraId="222A80C1" w14:textId="77777777" w:rsidR="00D43807" w:rsidRPr="00115978" w:rsidRDefault="00D43807" w:rsidP="0011597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361BDF" w14:textId="77777777" w:rsidR="00115978" w:rsidRDefault="00115978" w:rsidP="00115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39A39F7" w14:textId="7BE60AB7" w:rsidR="00D43807" w:rsidRPr="00115978" w:rsidRDefault="00D43807" w:rsidP="00115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The purpose of this </w:t>
      </w:r>
      <w:r w:rsidR="00CA1C30" w:rsidRPr="00115978">
        <w:rPr>
          <w:rFonts w:ascii="Times New Roman" w:hAnsi="Times New Roman" w:cs="Times New Roman"/>
          <w:sz w:val="20"/>
          <w:szCs w:val="20"/>
          <w:lang w:val="en-US"/>
        </w:rPr>
        <w:t>application, under Article</w:t>
      </w:r>
      <w:r w:rsidR="009C3FD3" w:rsidRPr="0011597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85E1E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23.9.3 and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81.2.</w:t>
      </w:r>
      <w:r w:rsidR="00EA48C9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2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/81.2.3]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of the Code, is to conserve the</w:t>
      </w:r>
      <w:r w:rsidR="009C7AC4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usage of the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BD377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species-group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BD377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genus-group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/family-group]</w:t>
      </w:r>
      <w:r w:rsidR="00175F72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="009C7AC4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[junior</w:t>
      </w:r>
      <w:r w:rsidR="00175F72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384F0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281AA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CA1C30" w:rsidRPr="00115978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362F91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2F9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F6009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partial </w:t>
      </w:r>
      <w:r w:rsidR="009411D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(</w:t>
      </w:r>
      <w:r w:rsidR="00F6009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if </w:t>
      </w:r>
      <w:r w:rsidR="00F14C3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Art. 81.2.2 for </w:t>
      </w:r>
      <w:r w:rsidR="0090318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 synonym</w:t>
      </w:r>
      <w:r w:rsidR="009411D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)</w:t>
      </w:r>
      <w:r w:rsidR="00F6009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/conditional </w:t>
      </w:r>
      <w:r w:rsidR="009411D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(</w:t>
      </w:r>
      <w:r w:rsidR="00F6009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if </w:t>
      </w:r>
      <w:r w:rsidR="00F14C3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Art. 81.2.3 for </w:t>
      </w:r>
      <w:r w:rsidR="0090318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subjective synonym</w:t>
      </w:r>
      <w:r w:rsidR="009411D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)</w:t>
      </w:r>
      <w:r w:rsidR="00362F9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CA1C30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suppression of its 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[objective/subjective]</w:t>
      </w:r>
      <w:r w:rsidR="00384F0C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synonym</w:t>
      </w:r>
      <w:r w:rsidR="00281AA0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84F0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384F0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synonym]</w:t>
      </w:r>
      <w:r w:rsidR="00175F72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929B8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specify</w:t>
      </w:r>
      <w:proofErr w:type="gramEnd"/>
      <w:r w:rsidR="00CA1C3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384F0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negative consequences of accepting priority and why</w:t>
      </w:r>
      <w:r w:rsidR="005803C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partial/conditional</w:t>
      </w:r>
      <w:r w:rsidR="00384F0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suppression will promote nomenclatural stability</w:t>
      </w:r>
      <w:r w:rsidR="001929B8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281AA0"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419F3E8" w14:textId="77777777" w:rsidR="00115978" w:rsidRDefault="00115978" w:rsidP="0011597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AE8801" w14:textId="0DD80A90" w:rsidR="00281AA0" w:rsidRPr="00115978" w:rsidRDefault="00281AA0" w:rsidP="0011597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5978">
        <w:rPr>
          <w:rFonts w:ascii="Times New Roman" w:hAnsi="Times New Roman" w:cs="Times New Roman"/>
          <w:b/>
          <w:sz w:val="20"/>
          <w:szCs w:val="20"/>
          <w:lang w:val="en-US"/>
        </w:rPr>
        <w:t>Keywords.</w:t>
      </w:r>
      <w:proofErr w:type="gramEnd"/>
      <w:r w:rsidRPr="0011597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Nomenclature; taxonomy;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[class]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[order]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[family-group name(s) (in small capitals, with first letter capitalised)]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[genus-group name(s) (in italics)]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</w:t>
      </w:r>
      <w:r w:rsidR="00BD3770" w:rsidRPr="00115978">
        <w:rPr>
          <w:rFonts w:ascii="Times New Roman" w:hAnsi="Times New Roman" w:cs="Times New Roman"/>
          <w:color w:val="0070C0"/>
          <w:sz w:val="20"/>
          <w:szCs w:val="20"/>
        </w:rPr>
        <w:t>species-group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 xml:space="preserve"> name(s) (in italics)]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[vernacular name(s)]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</w:t>
      </w:r>
      <w:proofErr w:type="gramStart"/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geographical</w:t>
      </w:r>
      <w:proofErr w:type="gramEnd"/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 xml:space="preserve"> region(s)]</w:t>
      </w:r>
      <w:r w:rsidR="00C3744A" w:rsidRPr="001159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115978">
        <w:rPr>
          <w:rFonts w:ascii="Times New Roman" w:hAnsi="Times New Roman" w:cs="Times New Roman"/>
          <w:color w:val="0070C0"/>
          <w:sz w:val="20"/>
          <w:szCs w:val="20"/>
        </w:rPr>
        <w:t>[geological horizon (for fossils)]</w:t>
      </w:r>
      <w:r w:rsidR="00C3744A" w:rsidRPr="00115978">
        <w:rPr>
          <w:rFonts w:ascii="Times New Roman" w:hAnsi="Times New Roman" w:cs="Times New Roman"/>
          <w:sz w:val="20"/>
          <w:szCs w:val="20"/>
        </w:rPr>
        <w:t>.</w:t>
      </w:r>
    </w:p>
    <w:p w14:paraId="68A46EF2" w14:textId="77777777" w:rsidR="00D5325B" w:rsidRPr="00115978" w:rsidRDefault="00D5325B" w:rsidP="0011597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25F76" w14:textId="77777777" w:rsidR="0010239D" w:rsidRDefault="0010239D" w:rsidP="0011597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074118ED" w14:textId="75850A0E" w:rsidR="00D5325B" w:rsidRDefault="00D5325B" w:rsidP="0010239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[Nomenclatural issue in chronological order]</w:t>
      </w:r>
    </w:p>
    <w:p w14:paraId="0BDFC1A9" w14:textId="77777777" w:rsidR="0010239D" w:rsidRPr="00115978" w:rsidRDefault="0010239D" w:rsidP="0010239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6765FBDC" w14:textId="25A200BF" w:rsidR="00D5325B" w:rsidRPr="00115978" w:rsidRDefault="00D5325B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C5D87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[…x]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DF2D4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and its type</w:t>
      </w:r>
      <w:r w:rsidR="00876E44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provide evidence of its relative disuse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4E7C16DD" w14:textId="65E371A1" w:rsidR="00D5325B" w:rsidRPr="00115978" w:rsidRDefault="009C5D87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[x+1…</w:t>
      </w:r>
      <w:r w:rsidR="00D5325B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y]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D5325B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325B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DF2D4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and its type</w:t>
      </w:r>
      <w:r w:rsidR="00876E44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provide evidence of its prevailing and widespread usage.</w:t>
      </w:r>
      <w:r w:rsidR="00D5325B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0986045D" w14:textId="4C1316AB" w:rsidR="009B49AA" w:rsidRDefault="009C5D87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[y+1…z]</w:t>
      </w:r>
      <w:r w:rsidR="009B49AA"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9B49AA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49AA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CB3AC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Discussion of </w:t>
      </w:r>
      <w:r w:rsidR="002C607D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why the 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2C607D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violates Art. 23.9.1 therefore cannot be resolved by 23.9.2.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Highlight the consequences</w:t>
      </w:r>
      <w:r w:rsidR="006A156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(scientific and otherwise)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of </w:t>
      </w:r>
      <w:r w:rsidR="00CB3AC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inaction, and why</w:t>
      </w:r>
      <w:r w:rsidR="00C5442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reversal of precedence alone is inadequate.</w:t>
      </w:r>
      <w:r w:rsidR="00A43E4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43E4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Reference and </w:t>
      </w:r>
      <w:proofErr w:type="spellStart"/>
      <w:r w:rsidR="00A43E4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summarise</w:t>
      </w:r>
      <w:proofErr w:type="spellEnd"/>
      <w:r w:rsidR="00A43E4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details of the Appendix of significant references supporting the use of the junior synonym, which authors should have submitted as part of the application.</w:t>
      </w:r>
      <w:r w:rsidR="00C5442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Highlight why</w:t>
      </w:r>
      <w:r w:rsidR="00CB3AC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DF2D4C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partial (if Art. 81.2.2) or conditional (if Art. 81.2.3)</w:t>
      </w:r>
      <w:r w:rsidR="00042F62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2C607D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suppression of the 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2C607D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would be ideal for stability in nomenclature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215B64AF" w14:textId="77777777" w:rsidR="0010239D" w:rsidRPr="00115978" w:rsidRDefault="0010239D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7A144895" w14:textId="07FE7E7B" w:rsidR="008E3C6F" w:rsidRDefault="008E3C6F" w:rsidP="0010239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[Proposals to the Commission]</w:t>
      </w:r>
    </w:p>
    <w:p w14:paraId="4946E78F" w14:textId="77777777" w:rsidR="0010239D" w:rsidRPr="00115978" w:rsidRDefault="0010239D" w:rsidP="0010239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773181A6" w14:textId="402E3F9A" w:rsidR="008E3C6F" w:rsidRDefault="008E3C6F" w:rsidP="0011597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Follow this order: 1) request/s to the Commission, specifying whether it is under the plenary power or specific powers 2) names to be placed on the Official Lists in this order: Generic Names → Family-Group Names → Specific Names.3] names to be placed on the Official Indexes in this order: Generic Names → Family-Group Names → Specific Names. Authors can include proposals for subordinate taxa to be added to the Official Lists and Indices if they believe these actions will improve nomenclatural stability</w:t>
      </w:r>
    </w:p>
    <w:p w14:paraId="494ACAF1" w14:textId="77777777" w:rsidR="0010239D" w:rsidRPr="00115978" w:rsidRDefault="0010239D" w:rsidP="0011597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756222B9" w14:textId="6423DCA7" w:rsidR="00FC2171" w:rsidRDefault="00FC2171" w:rsidP="0010239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53725A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For </w:t>
      </w:r>
      <w:r w:rsidR="00BD3770"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species-group</w:t>
      </w: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names]</w:t>
      </w:r>
    </w:p>
    <w:p w14:paraId="37399C38" w14:textId="77777777" w:rsidR="0010239D" w:rsidRPr="00115978" w:rsidRDefault="0010239D" w:rsidP="0010239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50DB0339" w14:textId="77777777" w:rsidR="009C5D87" w:rsidRPr="00115978" w:rsidRDefault="009C5D87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</w:t>
      </w:r>
      <w:r w:rsidR="0077079E" w:rsidRPr="00115978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7D1790D3" w14:textId="327127BF" w:rsidR="009C5D87" w:rsidRPr="00115978" w:rsidRDefault="009C5D87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lastRenderedPageBreak/>
        <w:t>(1)</w:t>
      </w:r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</w:t>
      </w:r>
      <w:r w:rsidR="00F80DE2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rule that </w:t>
      </w:r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the specific name </w:t>
      </w:r>
      <w:r w:rsidR="00FD6CC3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</w:t>
      </w:r>
      <w:r w:rsidR="008B52F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r w:rsidR="00CB3ACE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FD6CC3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DA798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as published in the binomen </w:t>
      </w:r>
      <w:r w:rsidR="00FD6CC3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4F689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r w:rsidR="00FD6CC3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0941C1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FD6CC3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1538E6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be suppressed for </w:t>
      </w:r>
      <w:r w:rsidR="001B51CB" w:rsidRPr="00115978">
        <w:rPr>
          <w:rFonts w:ascii="Times New Roman" w:hAnsi="Times New Roman" w:cs="Times New Roman"/>
          <w:sz w:val="20"/>
          <w:szCs w:val="20"/>
          <w:lang w:val="en-US"/>
        </w:rPr>
        <w:t>the purposes of the Principle of Priority</w:t>
      </w:r>
      <w:r w:rsidR="000941C1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but not for</w:t>
      </w:r>
      <w:r w:rsidR="001B51CB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41C1" w:rsidRPr="00115978">
        <w:rPr>
          <w:rFonts w:ascii="Times New Roman" w:hAnsi="Times New Roman" w:cs="Times New Roman"/>
          <w:sz w:val="20"/>
          <w:szCs w:val="20"/>
          <w:lang w:val="en-US"/>
        </w:rPr>
        <w:t>those</w:t>
      </w:r>
      <w:r w:rsidR="001B51CB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38674F" w:rsidRPr="00115978">
        <w:rPr>
          <w:rFonts w:ascii="Times New Roman" w:hAnsi="Times New Roman" w:cs="Times New Roman"/>
          <w:sz w:val="20"/>
          <w:szCs w:val="20"/>
          <w:lang w:val="en-US"/>
        </w:rPr>
        <w:t>the Principle of Homonymy;</w:t>
      </w:r>
    </w:p>
    <w:p w14:paraId="0C1BD6CE" w14:textId="3A0EA02E" w:rsidR="008B52F5" w:rsidRPr="00115978" w:rsidRDefault="008B52F5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Specific Names in Zoology the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DA798A" w:rsidRPr="00DA798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; and</w:t>
      </w:r>
    </w:p>
    <w:p w14:paraId="230C62E5" w14:textId="3AAE3D37" w:rsidR="004C10C5" w:rsidRPr="00115978" w:rsidRDefault="00D36E1C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(3</w:t>
      </w:r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</w:t>
      </w:r>
      <w:r w:rsidR="0038674F" w:rsidRPr="00115978">
        <w:rPr>
          <w:rFonts w:ascii="Times New Roman" w:hAnsi="Times New Roman" w:cs="Times New Roman"/>
          <w:sz w:val="20"/>
          <w:szCs w:val="20"/>
          <w:lang w:val="en-US"/>
        </w:rPr>
        <w:t>Index of Rejected and Invalid</w:t>
      </w:r>
      <w:r w:rsidR="00FD6CC3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Specific Names</w:t>
      </w:r>
      <w:r w:rsidR="00720F79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in Zoology the name</w:t>
      </w:r>
      <w:r w:rsidR="004C10C5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10C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</w:t>
      </w:r>
      <w:r w:rsidR="00E8599A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r w:rsidR="004C10C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4C10C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DA798A" w:rsidRPr="00DA798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C10C5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E8599A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[senior</w:t>
      </w:r>
      <w:r w:rsidR="004C10C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="004C10C5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4C10C5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8674F" w:rsidRPr="00115978">
        <w:rPr>
          <w:rFonts w:ascii="Times New Roman" w:hAnsi="Times New Roman" w:cs="Times New Roman"/>
          <w:sz w:val="20"/>
          <w:szCs w:val="20"/>
          <w:lang w:val="en-US"/>
        </w:rPr>
        <w:t>and as suppressed in (1) above.</w:t>
      </w:r>
    </w:p>
    <w:p w14:paraId="61080303" w14:textId="77777777" w:rsidR="0010239D" w:rsidRDefault="0010239D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2D3ABEAA" w14:textId="382AE7B6" w:rsidR="00FC2171" w:rsidRPr="00115978" w:rsidRDefault="008B52F5" w:rsidP="0010239D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FC2171"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For </w:t>
      </w:r>
      <w:r w:rsidR="00BD3770"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genus-group</w:t>
      </w: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names]</w:t>
      </w:r>
    </w:p>
    <w:p w14:paraId="41DF2FD4" w14:textId="77777777" w:rsidR="0010239D" w:rsidRDefault="0010239D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41B14092" w14:textId="0B687863" w:rsidR="00FC2171" w:rsidRPr="00115978" w:rsidRDefault="00FC2171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accordingly asked:</w:t>
      </w:r>
    </w:p>
    <w:p w14:paraId="4806FF73" w14:textId="77777777" w:rsidR="008B52F5" w:rsidRPr="00115978" w:rsidRDefault="008B52F5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rule that the generic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E8599A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8C132F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be suppressed for the purposes of the Principle of Priority but not for those of the Principle of Homonymy;</w:t>
      </w:r>
    </w:p>
    <w:p w14:paraId="4F82B385" w14:textId="5A4075D1" w:rsidR="008B52F5" w:rsidRPr="00115978" w:rsidRDefault="008B52F5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Generic Names in Zoology the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species of 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1683B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; and</w:t>
      </w:r>
    </w:p>
    <w:p w14:paraId="642DDFDD" w14:textId="77777777" w:rsidR="008B52F5" w:rsidRPr="00115978" w:rsidRDefault="008B52F5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C2171" w:rsidRPr="00115978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Index of Rejected and Invalid</w:t>
      </w:r>
      <w:r w:rsidR="00EE11CF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Generic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E8599A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as suppressed in (1) above.</w:t>
      </w:r>
    </w:p>
    <w:p w14:paraId="39D17BFD" w14:textId="77777777" w:rsidR="0010239D" w:rsidRDefault="0010239D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4EF2065D" w14:textId="348E5D8C" w:rsidR="00FC2171" w:rsidRDefault="00FC2171" w:rsidP="0010239D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color w:val="00B050"/>
          <w:sz w:val="20"/>
          <w:szCs w:val="20"/>
          <w:lang w:val="en-US"/>
        </w:rPr>
        <w:t>[For family-group names]</w:t>
      </w:r>
    </w:p>
    <w:p w14:paraId="54A78605" w14:textId="77777777" w:rsidR="0010239D" w:rsidRPr="00115978" w:rsidRDefault="0010239D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35EAF8E6" w14:textId="77777777" w:rsidR="00FC2171" w:rsidRPr="00115978" w:rsidRDefault="00FC2171" w:rsidP="001159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accordingly asked:</w:t>
      </w:r>
    </w:p>
    <w:p w14:paraId="125B649A" w14:textId="3D02A3B4" w:rsidR="00FC2171" w:rsidRPr="00115978" w:rsidRDefault="00FC2171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rule that the 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8C132F"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be suppressed for the purposes of the Principle of Priority but not for those of the Principle of Homonymy;</w:t>
      </w:r>
    </w:p>
    <w:p w14:paraId="572F21A4" w14:textId="4A498BEE" w:rsidR="00FC2171" w:rsidRPr="00115978" w:rsidRDefault="00FC2171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>, type genus: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</w:t>
      </w:r>
      <w:r w:rsidR="004F6890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genus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of junior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1683B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>; and</w:t>
      </w:r>
    </w:p>
    <w:p w14:paraId="462A652C" w14:textId="77777777" w:rsidR="00FC2171" w:rsidRPr="00115978" w:rsidRDefault="00FC2171" w:rsidP="0011597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(3) </w:t>
      </w:r>
      <w:proofErr w:type="gramStart"/>
      <w:r w:rsidRPr="001159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Index of Rejected and Invalid 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name 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EF25F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objective/subjective</w:t>
      </w:r>
      <w:r w:rsidR="008C132F"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</w:t>
      </w:r>
      <w:r w:rsidRPr="001159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4F6890" w:rsidRPr="0011597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15978">
        <w:rPr>
          <w:rFonts w:ascii="Times New Roman" w:hAnsi="Times New Roman" w:cs="Times New Roman"/>
          <w:sz w:val="20"/>
          <w:szCs w:val="20"/>
          <w:lang w:val="en-US"/>
        </w:rPr>
        <w:t xml:space="preserve"> as suppressed in (1) above.</w:t>
      </w:r>
    </w:p>
    <w:p w14:paraId="63782598" w14:textId="77777777" w:rsidR="009B5B28" w:rsidRPr="00115978" w:rsidRDefault="009B5B28" w:rsidP="00115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47258B" w14:textId="77777777" w:rsidR="00A339DC" w:rsidRPr="00115978" w:rsidRDefault="00A339DC" w:rsidP="00115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15978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32711926" w14:textId="77777777" w:rsidR="00786D6E" w:rsidRDefault="00915768" w:rsidP="009157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[book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 xml:space="preserve">Volume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publisher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558D2FC" w14:textId="267004B3" w:rsidR="00915768" w:rsidRDefault="00915768" w:rsidP="00786D6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mmmm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yyyy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5F560B0D" w14:textId="77777777" w:rsidR="00786D6E" w:rsidRDefault="00915768" w:rsidP="009157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journal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title, all principal words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volume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issue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</w:t>
      </w:r>
      <w:r>
        <w:rPr>
          <w:rFonts w:ascii="Times New Roman" w:hAnsi="Times New Roman" w:cs="Times New Roman"/>
          <w:sz w:val="18"/>
          <w:szCs w:val="18"/>
          <w:lang w:val="en-US"/>
        </w:rPr>
        <w:t>):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4BA2F758" w14:textId="7338A670" w:rsidR="00915768" w:rsidRDefault="00915768" w:rsidP="00786D6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2C8AC29D" w14:textId="77777777" w:rsidR="00503BE8" w:rsidRPr="0017125A" w:rsidRDefault="00503BE8" w:rsidP="001159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proofErr w:type="gram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ICZN (International Commission on Zoological Nomenclature) (1999) International Code of Zoological Nomenclature.</w:t>
      </w:r>
      <w:proofErr w:type="gram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gram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Fourth Edition.</w:t>
      </w:r>
      <w:proofErr w:type="gram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The International Trust for Zoological Nomenclature, London, xxix + 306 pp. </w:t>
      </w:r>
    </w:p>
    <w:p w14:paraId="6258D1E2" w14:textId="77777777" w:rsidR="00503BE8" w:rsidRPr="0017125A" w:rsidRDefault="00503BE8" w:rsidP="001159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Systema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per regna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tria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secundum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classes, ordines, genera, species, cum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characteribus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differentiis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synonymis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locis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. Tom. I.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Editio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decima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reformata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.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Laurentii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Salvii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17125A">
        <w:rPr>
          <w:rFonts w:ascii="Times New Roman" w:hAnsi="Times New Roman" w:cs="Times New Roman"/>
          <w:color w:val="00B050"/>
          <w:sz w:val="18"/>
          <w:szCs w:val="18"/>
        </w:rPr>
        <w:t>Holmiæ</w:t>
      </w:r>
      <w:proofErr w:type="spellEnd"/>
      <w:r w:rsidRPr="0017125A">
        <w:rPr>
          <w:rFonts w:ascii="Times New Roman" w:hAnsi="Times New Roman" w:cs="Times New Roman"/>
          <w:color w:val="00B050"/>
          <w:sz w:val="18"/>
          <w:szCs w:val="18"/>
        </w:rPr>
        <w:t xml:space="preserve"> [= Stockholm], [4] + 824 pp.</w:t>
      </w:r>
    </w:p>
    <w:p w14:paraId="10A55646" w14:textId="77777777" w:rsidR="00583253" w:rsidRPr="00D36E1C" w:rsidRDefault="00583253" w:rsidP="00583253">
      <w:pPr>
        <w:rPr>
          <w:rFonts w:ascii="Times New Roman" w:hAnsi="Times New Roman" w:cs="Times New Roman"/>
          <w:color w:val="0070C0"/>
          <w:sz w:val="18"/>
          <w:szCs w:val="18"/>
        </w:rPr>
      </w:pPr>
      <w:r w:rsidRPr="00D36E1C">
        <w:rPr>
          <w:rFonts w:ascii="Times New Roman" w:hAnsi="Times New Roman" w:cs="Times New Roman"/>
          <w:color w:val="0070C0"/>
          <w:sz w:val="18"/>
          <w:szCs w:val="18"/>
        </w:rPr>
        <w:br w:type="page"/>
      </w:r>
    </w:p>
    <w:p w14:paraId="31EB69A9" w14:textId="77777777" w:rsidR="00583253" w:rsidRPr="00D36E1C" w:rsidRDefault="00583253" w:rsidP="0058325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p w14:paraId="2F415502" w14:textId="77777777" w:rsidR="00583253" w:rsidRPr="00CB7178" w:rsidRDefault="00583253" w:rsidP="00583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Appendix</w:t>
      </w:r>
    </w:p>
    <w:p w14:paraId="7866F4AE" w14:textId="77777777" w:rsidR="00583253" w:rsidRPr="00CB7178" w:rsidRDefault="00583253" w:rsidP="005832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).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book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title, all principal words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Volume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publisher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51514DB" w14:textId="77777777" w:rsidR="00CA3882" w:rsidRDefault="00583253" w:rsidP="005832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journal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title, all principal words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volume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issue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):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20C5B7F1" w14:textId="54CDF23E" w:rsidR="00583253" w:rsidRPr="00CB7178" w:rsidRDefault="00583253" w:rsidP="00CA38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bookmarkStart w:id="0" w:name="_GoBack"/>
      <w:bookmarkEnd w:id="0"/>
      <w:proofErr w:type="spellStart"/>
      <w:r w:rsidRPr="00CB7178"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0478A492" w14:textId="77777777" w:rsidR="00AF34EE" w:rsidRPr="00115978" w:rsidRDefault="00AF34EE" w:rsidP="001159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sectPr w:rsidR="00AF34EE" w:rsidRPr="00115978" w:rsidSect="005A28B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SG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jE0tLA0Mze1NDVV0lEKTi0uzszPAykwrwUAiA/W/CwAAAA="/>
  </w:docVars>
  <w:rsids>
    <w:rsidRoot w:val="00D43807"/>
    <w:rsid w:val="000361F9"/>
    <w:rsid w:val="00042F62"/>
    <w:rsid w:val="000658E8"/>
    <w:rsid w:val="00067092"/>
    <w:rsid w:val="00077216"/>
    <w:rsid w:val="000941C1"/>
    <w:rsid w:val="000B1B57"/>
    <w:rsid w:val="000E3FC8"/>
    <w:rsid w:val="0010239D"/>
    <w:rsid w:val="00115978"/>
    <w:rsid w:val="00125747"/>
    <w:rsid w:val="001538E6"/>
    <w:rsid w:val="0017125A"/>
    <w:rsid w:val="00175F72"/>
    <w:rsid w:val="001929B8"/>
    <w:rsid w:val="001B51CB"/>
    <w:rsid w:val="001D3E82"/>
    <w:rsid w:val="0022072A"/>
    <w:rsid w:val="00281AA0"/>
    <w:rsid w:val="002B4602"/>
    <w:rsid w:val="002C607D"/>
    <w:rsid w:val="00300ED5"/>
    <w:rsid w:val="00362F91"/>
    <w:rsid w:val="00384F0C"/>
    <w:rsid w:val="0038674F"/>
    <w:rsid w:val="003D0F9D"/>
    <w:rsid w:val="00407B99"/>
    <w:rsid w:val="004264AA"/>
    <w:rsid w:val="00485E1E"/>
    <w:rsid w:val="004A7AF5"/>
    <w:rsid w:val="004C10C5"/>
    <w:rsid w:val="004F6890"/>
    <w:rsid w:val="00503BE8"/>
    <w:rsid w:val="0051683B"/>
    <w:rsid w:val="0053725A"/>
    <w:rsid w:val="005803CE"/>
    <w:rsid w:val="00583253"/>
    <w:rsid w:val="005A28B9"/>
    <w:rsid w:val="0060716A"/>
    <w:rsid w:val="006134C4"/>
    <w:rsid w:val="00632BDF"/>
    <w:rsid w:val="006344B2"/>
    <w:rsid w:val="00663168"/>
    <w:rsid w:val="00690D41"/>
    <w:rsid w:val="00692364"/>
    <w:rsid w:val="006974FE"/>
    <w:rsid w:val="006A1561"/>
    <w:rsid w:val="006A5587"/>
    <w:rsid w:val="00720F79"/>
    <w:rsid w:val="00752354"/>
    <w:rsid w:val="0077079E"/>
    <w:rsid w:val="00786D6E"/>
    <w:rsid w:val="00876E44"/>
    <w:rsid w:val="00883CC4"/>
    <w:rsid w:val="008A25CA"/>
    <w:rsid w:val="008B52F5"/>
    <w:rsid w:val="008C132F"/>
    <w:rsid w:val="008D4BAE"/>
    <w:rsid w:val="008E3C6F"/>
    <w:rsid w:val="0090318E"/>
    <w:rsid w:val="00915768"/>
    <w:rsid w:val="009411DF"/>
    <w:rsid w:val="00941546"/>
    <w:rsid w:val="009B49AA"/>
    <w:rsid w:val="009B5B28"/>
    <w:rsid w:val="009C3FD3"/>
    <w:rsid w:val="009C57AD"/>
    <w:rsid w:val="009C5D87"/>
    <w:rsid w:val="009C7AC4"/>
    <w:rsid w:val="00A04F9D"/>
    <w:rsid w:val="00A23502"/>
    <w:rsid w:val="00A339DC"/>
    <w:rsid w:val="00A43E48"/>
    <w:rsid w:val="00A914FB"/>
    <w:rsid w:val="00AA0D89"/>
    <w:rsid w:val="00AF34EE"/>
    <w:rsid w:val="00B15157"/>
    <w:rsid w:val="00BD3770"/>
    <w:rsid w:val="00C3744A"/>
    <w:rsid w:val="00C5442C"/>
    <w:rsid w:val="00CA1C30"/>
    <w:rsid w:val="00CA3882"/>
    <w:rsid w:val="00CB26D1"/>
    <w:rsid w:val="00CB3ACE"/>
    <w:rsid w:val="00CE46BA"/>
    <w:rsid w:val="00D36E1C"/>
    <w:rsid w:val="00D43807"/>
    <w:rsid w:val="00D5325B"/>
    <w:rsid w:val="00DA798A"/>
    <w:rsid w:val="00DD5CB8"/>
    <w:rsid w:val="00DD7FFD"/>
    <w:rsid w:val="00DF2D4C"/>
    <w:rsid w:val="00E734AB"/>
    <w:rsid w:val="00E8599A"/>
    <w:rsid w:val="00EA48C9"/>
    <w:rsid w:val="00ED2584"/>
    <w:rsid w:val="00ED5EB3"/>
    <w:rsid w:val="00EE11CF"/>
    <w:rsid w:val="00EF25FF"/>
    <w:rsid w:val="00F14C31"/>
    <w:rsid w:val="00F60095"/>
    <w:rsid w:val="00F80DE2"/>
    <w:rsid w:val="00FC2171"/>
    <w:rsid w:val="00FC56F4"/>
    <w:rsid w:val="00FD549E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5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ICZN</dc:creator>
  <cp:keywords/>
  <dc:description/>
  <cp:lastModifiedBy>Evan S.H. Quah</cp:lastModifiedBy>
  <cp:revision>10</cp:revision>
  <cp:lastPrinted>2020-01-30T14:07:00Z</cp:lastPrinted>
  <dcterms:created xsi:type="dcterms:W3CDTF">2020-07-20T02:53:00Z</dcterms:created>
  <dcterms:modified xsi:type="dcterms:W3CDTF">2021-07-17T03:13:00Z</dcterms:modified>
</cp:coreProperties>
</file>